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w:t>
      </w:r>
      <w:r>
        <w:rPr>
          <w:rFonts w:ascii="Times New Roman" w:eastAsia="Times New Roman" w:hAnsi="Times New Roman" w:cs="Times New Roman"/>
          <w:sz w:val="22"/>
          <w:szCs w:val="22"/>
        </w:rPr>
        <w:t>854</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 мая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расположенного по адресу: </w:t>
      </w:r>
      <w:r>
        <w:rPr>
          <w:rFonts w:ascii="Times New Roman" w:eastAsia="Times New Roman" w:hAnsi="Times New Roman" w:cs="Times New Roman"/>
          <w:sz w:val="27"/>
          <w:szCs w:val="27"/>
        </w:rPr>
        <w:t>ХМАО-Югра,</w:t>
      </w:r>
      <w:r>
        <w:rPr>
          <w:rFonts w:ascii="Times New Roman" w:eastAsia="Times New Roman" w:hAnsi="Times New Roman" w:cs="Times New Roman"/>
          <w:sz w:val="27"/>
          <w:szCs w:val="27"/>
        </w:rPr>
        <w:t xml:space="preserve">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Ларионова Николая Федоровича</w:t>
      </w:r>
      <w:r>
        <w:rPr>
          <w:rFonts w:ascii="Times New Roman" w:eastAsia="Times New Roman" w:hAnsi="Times New Roman" w:cs="Times New Roman"/>
          <w:sz w:val="27"/>
          <w:szCs w:val="27"/>
        </w:rPr>
        <w:t xml:space="preserve">, </w:t>
      </w:r>
      <w:r>
        <w:rPr>
          <w:rStyle w:val="cat-UserDefinedgrp-32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26.05.</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около </w:t>
      </w:r>
      <w:r>
        <w:rPr>
          <w:rFonts w:ascii="Times New Roman" w:eastAsia="Times New Roman" w:hAnsi="Times New Roman" w:cs="Times New Roman"/>
          <w:sz w:val="27"/>
          <w:szCs w:val="27"/>
        </w:rPr>
        <w:t>19</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59</w:t>
      </w:r>
      <w:r>
        <w:rPr>
          <w:rFonts w:ascii="Times New Roman" w:eastAsia="Times New Roman" w:hAnsi="Times New Roman" w:cs="Times New Roman"/>
          <w:sz w:val="27"/>
          <w:szCs w:val="27"/>
        </w:rPr>
        <w:t xml:space="preserve"> час. в </w:t>
      </w:r>
      <w:r>
        <w:rPr>
          <w:rFonts w:ascii="Times New Roman" w:eastAsia="Times New Roman" w:hAnsi="Times New Roman" w:cs="Times New Roman"/>
          <w:sz w:val="27"/>
          <w:szCs w:val="27"/>
        </w:rPr>
        <w:t>магазине «</w:t>
      </w:r>
      <w:r>
        <w:rPr>
          <w:rFonts w:ascii="Times New Roman" w:eastAsia="Times New Roman" w:hAnsi="Times New Roman" w:cs="Times New Roman"/>
          <w:sz w:val="27"/>
          <w:szCs w:val="27"/>
        </w:rPr>
        <w:t>Окей</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адресу:</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Сургут, </w:t>
      </w:r>
      <w:r>
        <w:rPr>
          <w:rStyle w:val="cat-UserDefinedgrp-33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Ларионов Н.Ф.,</w:t>
      </w:r>
      <w:r>
        <w:rPr>
          <w:rFonts w:ascii="Times New Roman" w:eastAsia="Times New Roman" w:hAnsi="Times New Roman" w:cs="Times New Roman"/>
          <w:sz w:val="27"/>
          <w:szCs w:val="27"/>
        </w:rPr>
        <w:t xml:space="preserve"> </w:t>
      </w:r>
      <w:r>
        <w:rPr>
          <w:rStyle w:val="cat-UserDefinedgrp-31rplc-1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(одну) бутылку водки «Беленькая Люкс» </w:t>
      </w:r>
      <w:r>
        <w:rPr>
          <w:rFonts w:ascii="Times New Roman" w:eastAsia="Times New Roman" w:hAnsi="Times New Roman" w:cs="Times New Roman"/>
          <w:sz w:val="27"/>
          <w:szCs w:val="27"/>
        </w:rPr>
        <w:t>алк</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40%, емк.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0,25л., общей стоимостью </w:t>
      </w:r>
      <w:r>
        <w:rPr>
          <w:rStyle w:val="cat-Sumgrp-18rplc-20"/>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незначительный материальный ущерб</w:t>
      </w:r>
      <w:r>
        <w:rPr>
          <w:rFonts w:ascii="Times New Roman" w:eastAsia="Times New Roman" w:hAnsi="Times New Roman" w:cs="Times New Roman"/>
          <w:sz w:val="27"/>
          <w:szCs w:val="27"/>
        </w:rPr>
        <w:t xml:space="preserve"> ООО «</w:t>
      </w:r>
      <w:r>
        <w:rPr>
          <w:rFonts w:ascii="Times New Roman" w:eastAsia="Times New Roman" w:hAnsi="Times New Roman" w:cs="Times New Roman"/>
          <w:sz w:val="27"/>
          <w:szCs w:val="27"/>
        </w:rPr>
        <w:t>Окей</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18rplc-22"/>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то есть совершил мелкое </w:t>
      </w:r>
      <w:r>
        <w:rPr>
          <w:rFonts w:ascii="Times New Roman" w:eastAsia="Times New Roman" w:hAnsi="Times New Roman" w:cs="Times New Roman"/>
          <w:sz w:val="27"/>
          <w:szCs w:val="27"/>
        </w:rPr>
        <w:t>хищение</w:t>
      </w:r>
      <w:r>
        <w:rPr>
          <w:rFonts w:ascii="Times New Roman" w:eastAsia="Times New Roman" w:hAnsi="Times New Roman" w:cs="Times New Roman"/>
          <w:sz w:val="27"/>
          <w:szCs w:val="27"/>
        </w:rPr>
        <w:t xml:space="preserve">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менее </w:t>
      </w:r>
      <w:r>
        <w:rPr>
          <w:rStyle w:val="cat-Sumgrp-19rplc-23"/>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путем кражи, при отсутствии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Ларионов Н.Ф.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редставитель потерпевшего 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просил рассмотреть дело в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отсутствие.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Ларионов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20736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25.05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 xml:space="preserve">сотрудника полиции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27.05</w:t>
      </w:r>
      <w:r>
        <w:rPr>
          <w:rFonts w:ascii="Times New Roman" w:eastAsia="Times New Roman" w:hAnsi="Times New Roman" w:cs="Times New Roman"/>
          <w:sz w:val="27"/>
          <w:szCs w:val="27"/>
        </w:rPr>
        <w:t>.2026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сообщением о краже, зарегистрированн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м в КУСП ОП-1</w:t>
      </w:r>
      <w:r>
        <w:rPr>
          <w:rFonts w:ascii="Times New Roman" w:eastAsia="Times New Roman" w:hAnsi="Times New Roman" w:cs="Times New Roman"/>
          <w:sz w:val="27"/>
          <w:szCs w:val="27"/>
        </w:rPr>
        <w:t xml:space="preserve"> УМВД России по г. Сургуту </w:t>
      </w:r>
      <w:r>
        <w:rPr>
          <w:rFonts w:ascii="Times New Roman" w:eastAsia="Times New Roman" w:hAnsi="Times New Roman" w:cs="Times New Roman"/>
          <w:sz w:val="27"/>
          <w:szCs w:val="27"/>
        </w:rPr>
        <w:t xml:space="preserve">за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17182</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26.05</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рапортом ст. полицейского БП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МОВД от 26.05.2026 года; </w:t>
      </w:r>
      <w:r>
        <w:rPr>
          <w:rFonts w:ascii="Times New Roman" w:eastAsia="Times New Roman" w:hAnsi="Times New Roman" w:cs="Times New Roman"/>
          <w:sz w:val="27"/>
          <w:szCs w:val="27"/>
        </w:rPr>
        <w:t>объяснением свидетеля от 26.05.2026 года; справка об ущербе от 26.05.2026 г</w:t>
      </w:r>
      <w:r>
        <w:rPr>
          <w:rFonts w:ascii="Times New Roman" w:eastAsia="Times New Roman" w:hAnsi="Times New Roman" w:cs="Times New Roman"/>
          <w:sz w:val="27"/>
          <w:szCs w:val="27"/>
        </w:rPr>
        <w:t>ода</w:t>
      </w:r>
      <w:r>
        <w:rPr>
          <w:rFonts w:ascii="Times New Roman" w:eastAsia="Times New Roman" w:hAnsi="Times New Roman" w:cs="Times New Roman"/>
          <w:sz w:val="27"/>
          <w:szCs w:val="27"/>
        </w:rPr>
        <w:t>; протокол</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изъятия от 26.05.2026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сохранной распиской от 26.05.2026 года;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представителя ООО «</w:t>
      </w:r>
      <w:r>
        <w:rPr>
          <w:rFonts w:ascii="Times New Roman" w:eastAsia="Times New Roman" w:hAnsi="Times New Roman" w:cs="Times New Roman"/>
          <w:sz w:val="27"/>
          <w:szCs w:val="27"/>
        </w:rPr>
        <w:t>Окей</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2</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.05.2026 года; объяснение</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Ларион</w:t>
      </w:r>
      <w:r>
        <w:rPr>
          <w:rFonts w:ascii="Times New Roman" w:eastAsia="Times New Roman" w:hAnsi="Times New Roman" w:cs="Times New Roman"/>
          <w:sz w:val="27"/>
          <w:szCs w:val="27"/>
        </w:rPr>
        <w:t>ов</w:t>
      </w:r>
      <w:r>
        <w:rPr>
          <w:rFonts w:ascii="Times New Roman" w:eastAsia="Times New Roman" w:hAnsi="Times New Roman" w:cs="Times New Roman"/>
          <w:sz w:val="27"/>
          <w:szCs w:val="27"/>
        </w:rPr>
        <w:t>а Н.Ф. от 27.05.2026 г</w:t>
      </w:r>
      <w:r>
        <w:rPr>
          <w:rFonts w:ascii="Times New Roman" w:eastAsia="Times New Roman" w:hAnsi="Times New Roman" w:cs="Times New Roman"/>
          <w:sz w:val="27"/>
          <w:szCs w:val="27"/>
        </w:rPr>
        <w:t>ода</w:t>
      </w:r>
      <w:r>
        <w:rPr>
          <w:rFonts w:ascii="Times New Roman" w:eastAsia="Times New Roman" w:hAnsi="Times New Roman" w:cs="Times New Roman"/>
          <w:sz w:val="27"/>
          <w:szCs w:val="27"/>
        </w:rPr>
        <w:t>; копией формы 1П; справкой на лицо по учетам СООП</w:t>
      </w:r>
      <w:r>
        <w:rPr>
          <w:rFonts w:ascii="Times New Roman" w:eastAsia="Times New Roman" w:hAnsi="Times New Roman" w:cs="Times New Roman"/>
          <w:sz w:val="27"/>
          <w:szCs w:val="27"/>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w:t>
      </w:r>
      <w:r>
        <w:rPr>
          <w:rFonts w:ascii="Times New Roman" w:eastAsia="Times New Roman" w:hAnsi="Times New Roman" w:cs="Times New Roman"/>
          <w:sz w:val="27"/>
          <w:szCs w:val="27"/>
        </w:rPr>
        <w:t xml:space="preserve">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Ларионова Н.Ф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возможность рассмотрения дела об административном правонарушении, не имеется.</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Ларионов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Н.Ф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 материальное положение, суд полагает справедливым назначить наказание в виде административного штрафа.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Ларионова Николая Федоровича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w:t>
      </w:r>
      <w:r>
        <w:rPr>
          <w:rFonts w:ascii="Times New Roman" w:eastAsia="Times New Roman" w:hAnsi="Times New Roman" w:cs="Times New Roman"/>
          <w:sz w:val="27"/>
          <w:szCs w:val="27"/>
        </w:rPr>
        <w:t xml:space="preserve">штрафа в </w:t>
      </w:r>
      <w:r>
        <w:rPr>
          <w:rFonts w:ascii="Times New Roman" w:eastAsia="Times New Roman" w:hAnsi="Times New Roman" w:cs="Times New Roman"/>
          <w:sz w:val="27"/>
          <w:szCs w:val="27"/>
        </w:rPr>
        <w:t xml:space="preserve">размере </w:t>
      </w:r>
      <w:r>
        <w:rPr>
          <w:rStyle w:val="cat-Sumgrp-20rplc-43"/>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ОКЦ №8 УГУ Банка России//УФК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7"/>
          <w:szCs w:val="27"/>
        </w:rPr>
        <w:t>0412365400655008542607135</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предоставить по адресу: ХМАО – 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105.</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1 ст. 20.25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9">
    <w:name w:val="cat-UserDefined grp-32 rplc-9"/>
    <w:basedOn w:val="DefaultParagraphFont"/>
  </w:style>
  <w:style w:type="character" w:customStyle="1" w:styleId="cat-UserDefinedgrp-33rplc-15">
    <w:name w:val="cat-UserDefined grp-33 rplc-15"/>
    <w:basedOn w:val="DefaultParagraphFont"/>
  </w:style>
  <w:style w:type="character" w:customStyle="1" w:styleId="cat-UserDefinedgrp-31rplc-17">
    <w:name w:val="cat-UserDefined grp-31 rplc-17"/>
    <w:basedOn w:val="DefaultParagraphFont"/>
  </w:style>
  <w:style w:type="character" w:customStyle="1" w:styleId="cat-Sumgrp-18rplc-20">
    <w:name w:val="cat-Sum grp-18 rplc-20"/>
    <w:basedOn w:val="DefaultParagraphFont"/>
  </w:style>
  <w:style w:type="character" w:customStyle="1" w:styleId="cat-Sumgrp-18rplc-22">
    <w:name w:val="cat-Sum grp-18 rplc-22"/>
    <w:basedOn w:val="DefaultParagraphFont"/>
  </w:style>
  <w:style w:type="character" w:customStyle="1" w:styleId="cat-Sumgrp-19rplc-23">
    <w:name w:val="cat-Sum grp-19 rplc-23"/>
    <w:basedOn w:val="DefaultParagraphFont"/>
  </w:style>
  <w:style w:type="character" w:customStyle="1" w:styleId="cat-Sumgrp-20rplc-43">
    <w:name w:val="cat-Sum grp-20 rplc-4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